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4A32" w:rsidRDefault="00D170F8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Grade Visual Art</w:t>
      </w:r>
    </w:p>
    <w:p w:rsidR="008D4A32" w:rsidRDefault="00D170F8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SYLLABUS</w:t>
      </w:r>
    </w:p>
    <w:p w:rsidR="008D4A32" w:rsidRDefault="00D170F8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2015-2016</w:t>
      </w:r>
    </w:p>
    <w:p w:rsidR="008D4A32" w:rsidRDefault="008D4A32">
      <w:pPr>
        <w:jc w:val="center"/>
      </w:pPr>
    </w:p>
    <w:p w:rsidR="008D4A32" w:rsidRDefault="00D170F8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Mrs.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Stewarl</w:t>
      </w:r>
      <w:proofErr w:type="spellEnd"/>
    </w:p>
    <w:p w:rsidR="008D4A32" w:rsidRDefault="00D170F8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Email: Cameron.Stewart</w:t>
      </w:r>
      <w:hyperlink r:id="rId5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l@fcps.org</w:t>
        </w:r>
      </w:hyperlink>
      <w:hyperlink r:id="rId6"/>
    </w:p>
    <w:p w:rsidR="008D4A32" w:rsidRDefault="00D170F8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Phone: 240-236-5000</w:t>
      </w:r>
    </w:p>
    <w:p w:rsidR="008D4A32" w:rsidRDefault="00D170F8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Website: </w:t>
      </w:r>
      <w:hyperlink r:id="rId7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www.stewartroom111.weebly.com</w:t>
        </w:r>
      </w:hyperlink>
      <w:hyperlink r:id="rId8"/>
    </w:p>
    <w:p w:rsidR="008D4A32" w:rsidRDefault="00D170F8">
      <w:pPr>
        <w:jc w:val="center"/>
      </w:pPr>
      <w:hyperlink r:id="rId9"/>
    </w:p>
    <w:p w:rsidR="008D4A32" w:rsidRDefault="00D170F8">
      <w:hyperlink r:id="rId10"/>
    </w:p>
    <w:p w:rsidR="008D4A32" w:rsidRDefault="00D170F8">
      <w:r>
        <w:rPr>
          <w:rFonts w:ascii="Arial" w:eastAsia="Arial" w:hAnsi="Arial" w:cs="Arial"/>
          <w:b/>
          <w:sz w:val="20"/>
          <w:szCs w:val="20"/>
          <w:u w:val="single"/>
        </w:rPr>
        <w:t>Course Overv</w:t>
      </w:r>
      <w:r>
        <w:rPr>
          <w:rFonts w:ascii="Arial" w:eastAsia="Arial" w:hAnsi="Arial" w:cs="Arial"/>
          <w:b/>
          <w:sz w:val="20"/>
          <w:szCs w:val="20"/>
          <w:u w:val="single"/>
        </w:rPr>
        <w:t>iew</w:t>
      </w:r>
    </w:p>
    <w:p w:rsidR="008D4A32" w:rsidRDefault="008D4A32"/>
    <w:p w:rsidR="008D4A32" w:rsidRDefault="00D170F8">
      <w:r>
        <w:rPr>
          <w:rFonts w:ascii="Arial" w:eastAsia="Arial" w:hAnsi="Arial" w:cs="Arial"/>
          <w:sz w:val="20"/>
          <w:szCs w:val="20"/>
        </w:rPr>
        <w:t>This elective full year visual art course allows students to create and explore art techniques, styles, cultures, and visual qualities of two and three-dimensional artworks in a 21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century learning environment. Students will develop fundamental art </w:t>
      </w:r>
      <w:r>
        <w:rPr>
          <w:rFonts w:ascii="Arial" w:eastAsia="Arial" w:hAnsi="Arial" w:cs="Arial"/>
          <w:sz w:val="20"/>
          <w:szCs w:val="20"/>
        </w:rPr>
        <w:t>skills in drawing, painting, printing, graphics, crafts, sculpture, and architecture. Each project will allow students to integrate visual art skills with academic themes and real-world connections. Originality, effective communications, problem solving, c</w:t>
      </w:r>
      <w:r>
        <w:rPr>
          <w:rFonts w:ascii="Arial" w:eastAsia="Arial" w:hAnsi="Arial" w:cs="Arial"/>
          <w:sz w:val="20"/>
          <w:szCs w:val="20"/>
        </w:rPr>
        <w:t>ritical thinking, social cooperation, self-discipline and community environmental issues will be involved in the lessons.</w:t>
      </w:r>
    </w:p>
    <w:p w:rsidR="008D4A32" w:rsidRDefault="008D4A32"/>
    <w:p w:rsidR="008D4A32" w:rsidRDefault="008D4A32"/>
    <w:p w:rsidR="008D4A32" w:rsidRDefault="00D170F8">
      <w:r>
        <w:rPr>
          <w:rFonts w:ascii="Arial" w:eastAsia="Arial" w:hAnsi="Arial" w:cs="Arial"/>
          <w:b/>
          <w:sz w:val="20"/>
          <w:szCs w:val="20"/>
          <w:u w:val="single"/>
        </w:rPr>
        <w:t>Classroom Expectations:</w:t>
      </w:r>
    </w:p>
    <w:p w:rsidR="008D4A32" w:rsidRDefault="008D4A32">
      <w:pPr>
        <w:jc w:val="center"/>
      </w:pPr>
    </w:p>
    <w:tbl>
      <w:tblPr>
        <w:tblStyle w:val="a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8D4A32">
        <w:tc>
          <w:tcPr>
            <w:tcW w:w="8640" w:type="dxa"/>
          </w:tcPr>
          <w:p w:rsidR="008D4A32" w:rsidRDefault="008D4A32"/>
          <w:p w:rsidR="008D4A32" w:rsidRDefault="00D170F8"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9900"/>
              </w:rPr>
              <w:t>Engagement</w:t>
            </w:r>
          </w:p>
          <w:p w:rsidR="008D4A32" w:rsidRDefault="00D170F8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  <w:t xml:space="preserve">Student is fully engaged in class discussions and studio processes by active listening and participation.  </w:t>
            </w:r>
          </w:p>
          <w:p w:rsidR="008D4A32" w:rsidRDefault="00D170F8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  <w:t>Student contributes comments/questions with relevance and substance.</w:t>
            </w:r>
          </w:p>
          <w:p w:rsidR="008D4A32" w:rsidRDefault="00D170F8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  <w:t>Students are on task the entire class.</w:t>
            </w:r>
          </w:p>
          <w:p w:rsidR="008D4A32" w:rsidRDefault="008D4A32"/>
        </w:tc>
      </w:tr>
      <w:tr w:rsidR="008D4A32">
        <w:tc>
          <w:tcPr>
            <w:tcW w:w="8640" w:type="dxa"/>
          </w:tcPr>
          <w:p w:rsidR="008D4A32" w:rsidRDefault="008D4A32"/>
          <w:p w:rsidR="008D4A32" w:rsidRDefault="00D170F8"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9900"/>
              </w:rPr>
              <w:t>Collaboration</w:t>
            </w:r>
          </w:p>
          <w:p w:rsidR="008D4A32" w:rsidRDefault="00D170F8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  <w:t>Student is fully involved in collaborative processes with peers and teacher (verbal discourse).</w:t>
            </w:r>
          </w:p>
          <w:p w:rsidR="008D4A32" w:rsidRDefault="00D170F8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  <w:t xml:space="preserve">Students are able to troubleshoot technology issues and art technique processes and procedures. </w:t>
            </w:r>
          </w:p>
          <w:p w:rsidR="008D4A32" w:rsidRDefault="00D170F8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  <w:t>Student is fully involved in group work (when required).</w:t>
            </w:r>
          </w:p>
          <w:p w:rsidR="008D4A32" w:rsidRDefault="008D4A32"/>
        </w:tc>
      </w:tr>
      <w:tr w:rsidR="008D4A32">
        <w:tc>
          <w:tcPr>
            <w:tcW w:w="8640" w:type="dxa"/>
          </w:tcPr>
          <w:p w:rsidR="008D4A32" w:rsidRDefault="008D4A32"/>
          <w:p w:rsidR="008D4A32" w:rsidRDefault="00D170F8"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9900"/>
              </w:rPr>
              <w:t>Ref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9900"/>
              </w:rPr>
              <w:t>lection</w:t>
            </w:r>
          </w:p>
          <w:p w:rsidR="008D4A32" w:rsidRDefault="00D170F8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  <w:t>Students are independent learners.</w:t>
            </w:r>
          </w:p>
          <w:p w:rsidR="008D4A32" w:rsidRDefault="00D170F8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  <w:t>Students reflect on processes and procedures to overcome difficulties and move forward.</w:t>
            </w:r>
          </w:p>
          <w:p w:rsidR="008D4A32" w:rsidRDefault="00D170F8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  <w:t>Students explore further resources to enhance their learning.</w:t>
            </w:r>
          </w:p>
          <w:p w:rsidR="008D4A32" w:rsidRDefault="00D170F8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  <w:t>Students participate in gallery walk critiques (informal and fo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  <w:t>rmal) to reflect on their own learning.</w:t>
            </w:r>
          </w:p>
          <w:p w:rsidR="008D4A32" w:rsidRDefault="008D4A32"/>
        </w:tc>
      </w:tr>
    </w:tbl>
    <w:p w:rsidR="008D4A32" w:rsidRDefault="008D4A32"/>
    <w:p w:rsidR="008D4A32" w:rsidRDefault="00D170F8">
      <w:r>
        <w:rPr>
          <w:rFonts w:ascii="Arial" w:eastAsia="Arial" w:hAnsi="Arial" w:cs="Arial"/>
          <w:b/>
          <w:sz w:val="20"/>
          <w:szCs w:val="20"/>
        </w:rPr>
        <w:t xml:space="preserve">Classroom expectations have been reviewed with all classes. If a student has difficulty following these rules, or exhibits inappropriate behavior, PBIS steps will be taken to help the student improve: </w:t>
      </w:r>
      <w:r>
        <w:rPr>
          <w:rFonts w:ascii="Arial" w:eastAsia="Arial" w:hAnsi="Arial" w:cs="Arial"/>
          <w:sz w:val="20"/>
          <w:szCs w:val="20"/>
        </w:rPr>
        <w:t>(These steps are consistent school-wide.)</w:t>
      </w:r>
    </w:p>
    <w:p w:rsidR="008D4A32" w:rsidRDefault="008D4A32"/>
    <w:p w:rsidR="008D4A32" w:rsidRDefault="008D4A32"/>
    <w:p w:rsidR="008D4A32" w:rsidRDefault="00D170F8">
      <w:r>
        <w:rPr>
          <w:rFonts w:ascii="Arial" w:eastAsia="Arial" w:hAnsi="Arial" w:cs="Arial"/>
          <w:b/>
          <w:sz w:val="20"/>
          <w:szCs w:val="20"/>
          <w:u w:val="single"/>
        </w:rPr>
        <w:t>Required Materials</w:t>
      </w:r>
    </w:p>
    <w:p w:rsidR="008D4A32" w:rsidRDefault="008D4A32"/>
    <w:p w:rsidR="008D4A32" w:rsidRDefault="00D170F8">
      <w:r>
        <w:rPr>
          <w:rFonts w:ascii="Arial" w:eastAsia="Arial" w:hAnsi="Arial" w:cs="Arial"/>
          <w:sz w:val="20"/>
          <w:szCs w:val="20"/>
        </w:rPr>
        <w:t>Sketchbook (Spiral binding)</w:t>
      </w:r>
    </w:p>
    <w:p w:rsidR="008D4A32" w:rsidRDefault="00D170F8">
      <w:r>
        <w:rPr>
          <w:rFonts w:ascii="Arial" w:eastAsia="Arial" w:hAnsi="Arial" w:cs="Arial"/>
          <w:sz w:val="20"/>
          <w:szCs w:val="20"/>
        </w:rPr>
        <w:t>Pencils &amp; Erasers (#2, not mechanical)</w:t>
      </w:r>
    </w:p>
    <w:p w:rsidR="008D4A32" w:rsidRDefault="00D170F8">
      <w:r>
        <w:rPr>
          <w:rFonts w:ascii="Arial" w:eastAsia="Arial" w:hAnsi="Arial" w:cs="Arial"/>
          <w:sz w:val="20"/>
          <w:szCs w:val="20"/>
        </w:rPr>
        <w:t>Black, fine-point permanent marker</w:t>
      </w:r>
    </w:p>
    <w:p w:rsidR="008D4A32" w:rsidRDefault="00D170F8">
      <w:r>
        <w:rPr>
          <w:rFonts w:ascii="Arial" w:eastAsia="Arial" w:hAnsi="Arial" w:cs="Arial"/>
          <w:sz w:val="20"/>
          <w:szCs w:val="20"/>
        </w:rPr>
        <w:t>Set of fine-point colored markers</w:t>
      </w:r>
    </w:p>
    <w:p w:rsidR="008D4A32" w:rsidRDefault="00D170F8">
      <w:r>
        <w:rPr>
          <w:rFonts w:ascii="Arial" w:eastAsia="Arial" w:hAnsi="Arial" w:cs="Arial"/>
          <w:sz w:val="20"/>
          <w:szCs w:val="20"/>
        </w:rPr>
        <w:t>Set of colored pencils</w:t>
      </w:r>
    </w:p>
    <w:p w:rsidR="008D4A32" w:rsidRDefault="00D170F8">
      <w:r>
        <w:rPr>
          <w:rFonts w:ascii="Arial" w:eastAsia="Arial" w:hAnsi="Arial" w:cs="Arial"/>
          <w:sz w:val="20"/>
          <w:szCs w:val="20"/>
        </w:rPr>
        <w:t>Handheld pencil sharpener</w:t>
      </w:r>
    </w:p>
    <w:p w:rsidR="008D4A32" w:rsidRDefault="008D4A32"/>
    <w:p w:rsidR="008D4A32" w:rsidRDefault="00D170F8">
      <w:r>
        <w:rPr>
          <w:rFonts w:ascii="Arial" w:eastAsia="Arial" w:hAnsi="Arial" w:cs="Arial"/>
          <w:sz w:val="20"/>
          <w:szCs w:val="20"/>
        </w:rPr>
        <w:t>*Stude</w:t>
      </w:r>
      <w:r>
        <w:rPr>
          <w:rFonts w:ascii="Arial" w:eastAsia="Arial" w:hAnsi="Arial" w:cs="Arial"/>
          <w:sz w:val="20"/>
          <w:szCs w:val="20"/>
        </w:rPr>
        <w:t xml:space="preserve">nts are responsible for replenishing materials as needed. </w:t>
      </w:r>
    </w:p>
    <w:p w:rsidR="008D4A32" w:rsidRDefault="008D4A32"/>
    <w:p w:rsidR="008D4A32" w:rsidRDefault="00D170F8">
      <w:r>
        <w:rPr>
          <w:rFonts w:ascii="Arial" w:eastAsia="Arial" w:hAnsi="Arial" w:cs="Arial"/>
          <w:sz w:val="20"/>
          <w:szCs w:val="20"/>
        </w:rPr>
        <w:t>*Supplies can be purchased at Wal-Mart, A.C. Moore, Michaels, Staples, Office Depot, The Dollar Store, etc.</w:t>
      </w:r>
    </w:p>
    <w:p w:rsidR="008D4A32" w:rsidRDefault="008D4A32"/>
    <w:p w:rsidR="008D4A32" w:rsidRDefault="008D4A32"/>
    <w:p w:rsidR="008D4A32" w:rsidRDefault="00D170F8">
      <w:r>
        <w:rPr>
          <w:rFonts w:ascii="Arial" w:eastAsia="Arial" w:hAnsi="Arial" w:cs="Arial"/>
          <w:b/>
          <w:sz w:val="20"/>
          <w:szCs w:val="20"/>
          <w:u w:val="single"/>
        </w:rPr>
        <w:t xml:space="preserve">Grading </w:t>
      </w:r>
    </w:p>
    <w:p w:rsidR="008D4A32" w:rsidRDefault="00D170F8">
      <w:r>
        <w:rPr>
          <w:rFonts w:ascii="Arial" w:eastAsia="Arial" w:hAnsi="Arial" w:cs="Arial"/>
          <w:i/>
          <w:sz w:val="20"/>
          <w:szCs w:val="20"/>
        </w:rPr>
        <w:t>Note: Visual art will be using the standards based grading model this year. S</w:t>
      </w:r>
      <w:r>
        <w:rPr>
          <w:rFonts w:ascii="Arial" w:eastAsia="Arial" w:hAnsi="Arial" w:cs="Arial"/>
          <w:i/>
          <w:sz w:val="20"/>
          <w:szCs w:val="20"/>
        </w:rPr>
        <w:t xml:space="preserve">ee rubric below. </w:t>
      </w:r>
    </w:p>
    <w:p w:rsidR="008D4A32" w:rsidRDefault="00D170F8">
      <w:r>
        <w:rPr>
          <w:rFonts w:ascii="Arial" w:eastAsia="Arial" w:hAnsi="Arial" w:cs="Arial"/>
          <w:b/>
          <w:sz w:val="20"/>
          <w:szCs w:val="20"/>
        </w:rPr>
        <w:t>Summative Assessments (Studio Projects, Artist Statements) - 90%</w:t>
      </w:r>
    </w:p>
    <w:p w:rsidR="008D4A32" w:rsidRDefault="00D170F8">
      <w:r>
        <w:rPr>
          <w:rFonts w:ascii="Arial" w:eastAsia="Arial" w:hAnsi="Arial" w:cs="Arial"/>
          <w:b/>
          <w:sz w:val="20"/>
          <w:szCs w:val="20"/>
        </w:rPr>
        <w:t>Formative Assessments (S.K.I.L.L.S. assignments, Google Classroom discussions, Critiques) - 10%</w:t>
      </w:r>
    </w:p>
    <w:p w:rsidR="008D4A32" w:rsidRDefault="008D4A32"/>
    <w:p w:rsidR="008D4A32" w:rsidRDefault="008D4A32">
      <w:pPr>
        <w:spacing w:line="276" w:lineRule="auto"/>
      </w:pP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"/>
        <w:gridCol w:w="1660"/>
        <w:gridCol w:w="4280"/>
        <w:gridCol w:w="1760"/>
      </w:tblGrid>
      <w:tr w:rsidR="008D4A32"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Level</w:t>
            </w:r>
          </w:p>
        </w:tc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Description</w:t>
            </w:r>
          </w:p>
        </w:tc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TAC Equivalent</w:t>
            </w:r>
          </w:p>
        </w:tc>
      </w:tr>
      <w:tr w:rsidR="008D4A32"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No Mastery</w:t>
            </w:r>
          </w:p>
        </w:tc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</w:pPr>
            <w:r>
              <w:rPr>
                <w:rFonts w:ascii="Arial" w:eastAsia="Arial" w:hAnsi="Arial" w:cs="Arial"/>
                <w:sz w:val="12"/>
                <w:szCs w:val="12"/>
              </w:rPr>
              <w:t>Unable to demonstrate understanding of applications and content of the standard.</w:t>
            </w:r>
          </w:p>
        </w:tc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55%</w:t>
            </w:r>
          </w:p>
        </w:tc>
      </w:tr>
      <w:tr w:rsidR="008D4A32"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Limited Mastery </w:t>
            </w:r>
          </w:p>
        </w:tc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</w:pPr>
            <w:r>
              <w:rPr>
                <w:rFonts w:ascii="Arial" w:eastAsia="Arial" w:hAnsi="Arial" w:cs="Arial"/>
                <w:sz w:val="12"/>
                <w:szCs w:val="12"/>
              </w:rPr>
              <w:t>Demonstrates little to no understanding of applications and content of the standard.</w:t>
            </w:r>
          </w:p>
        </w:tc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65%</w:t>
            </w:r>
          </w:p>
        </w:tc>
      </w:tr>
      <w:tr w:rsidR="008D4A32">
        <w:trPr>
          <w:trHeight w:val="320"/>
        </w:trPr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Basic Mastery</w:t>
            </w:r>
          </w:p>
        </w:tc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</w:pPr>
            <w:r>
              <w:rPr>
                <w:rFonts w:ascii="Arial" w:eastAsia="Arial" w:hAnsi="Arial" w:cs="Arial"/>
                <w:sz w:val="12"/>
                <w:szCs w:val="12"/>
              </w:rPr>
              <w:t>Demonstrates basic understanding of applicati</w:t>
            </w:r>
            <w:r>
              <w:rPr>
                <w:rFonts w:ascii="Arial" w:eastAsia="Arial" w:hAnsi="Arial" w:cs="Arial"/>
                <w:sz w:val="12"/>
                <w:szCs w:val="12"/>
              </w:rPr>
              <w:t>ons and content of the standard.</w:t>
            </w:r>
          </w:p>
        </w:tc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75%</w:t>
            </w:r>
          </w:p>
        </w:tc>
      </w:tr>
      <w:tr w:rsidR="008D4A32"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Satisfactory Mastery</w:t>
            </w:r>
          </w:p>
        </w:tc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</w:pPr>
            <w:r>
              <w:rPr>
                <w:rFonts w:ascii="Arial" w:eastAsia="Arial" w:hAnsi="Arial" w:cs="Arial"/>
                <w:sz w:val="12"/>
                <w:szCs w:val="12"/>
              </w:rPr>
              <w:t>Demonstrates satisfactory understanding of applications and content of the standard.</w:t>
            </w:r>
          </w:p>
        </w:tc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85%</w:t>
            </w:r>
          </w:p>
        </w:tc>
      </w:tr>
      <w:tr w:rsidR="008D4A32"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Complete Mastery</w:t>
            </w:r>
          </w:p>
        </w:tc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</w:pPr>
            <w:r>
              <w:rPr>
                <w:rFonts w:ascii="Arial" w:eastAsia="Arial" w:hAnsi="Arial" w:cs="Arial"/>
                <w:sz w:val="12"/>
                <w:szCs w:val="12"/>
              </w:rPr>
              <w:t>Demonstrates complete understanding of applications and content of the standard.</w:t>
            </w:r>
          </w:p>
        </w:tc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95%</w:t>
            </w:r>
          </w:p>
        </w:tc>
      </w:tr>
      <w:tr w:rsidR="008D4A32"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Advanced Mastery</w:t>
            </w:r>
          </w:p>
        </w:tc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Demonstrates in-depth understanding of applications and content of the standard that go beyond what was taught. </w:t>
            </w:r>
          </w:p>
        </w:tc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32" w:rsidRDefault="00D170F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100%</w:t>
            </w:r>
          </w:p>
        </w:tc>
      </w:tr>
    </w:tbl>
    <w:p w:rsidR="008D4A32" w:rsidRDefault="008D4A32"/>
    <w:p w:rsidR="008D4A32" w:rsidRDefault="008D4A32"/>
    <w:p w:rsidR="008D4A32" w:rsidRDefault="00D170F8">
      <w:r>
        <w:rPr>
          <w:rFonts w:ascii="Arial" w:eastAsia="Arial" w:hAnsi="Arial" w:cs="Arial"/>
          <w:b/>
          <w:sz w:val="20"/>
          <w:szCs w:val="20"/>
          <w:u w:val="single"/>
        </w:rPr>
        <w:t>Late Work/Make-Up Work Policy</w:t>
      </w:r>
    </w:p>
    <w:p w:rsidR="008D4A32" w:rsidRDefault="008D4A32"/>
    <w:p w:rsidR="008D4A32" w:rsidRDefault="00D170F8">
      <w:r>
        <w:rPr>
          <w:rFonts w:ascii="Arial" w:eastAsia="Arial" w:hAnsi="Arial" w:cs="Arial"/>
          <w:sz w:val="20"/>
          <w:szCs w:val="20"/>
        </w:rPr>
        <w:t>Artists work at different speeds. Late work will be discussed on a case by case basis</w:t>
      </w:r>
      <w:r>
        <w:rPr>
          <w:rFonts w:ascii="Arial" w:eastAsia="Arial" w:hAnsi="Arial" w:cs="Arial"/>
          <w:sz w:val="20"/>
          <w:szCs w:val="20"/>
        </w:rPr>
        <w:t>.</w:t>
      </w:r>
    </w:p>
    <w:p w:rsidR="008D4A32" w:rsidRDefault="008D4A32"/>
    <w:p w:rsidR="008D4A32" w:rsidRDefault="00D170F8">
      <w:r>
        <w:rPr>
          <w:rFonts w:ascii="Arial" w:eastAsia="Arial" w:hAnsi="Arial" w:cs="Arial"/>
          <w:sz w:val="20"/>
          <w:szCs w:val="20"/>
        </w:rPr>
        <w:t xml:space="preserve">Students are expected to make up any work missed during class, designated ELT time, or on their own by midterm or the end of the semester. </w:t>
      </w:r>
    </w:p>
    <w:p w:rsidR="008D4A32" w:rsidRDefault="008D4A32"/>
    <w:p w:rsidR="008D4A32" w:rsidRDefault="00D170F8">
      <w:r>
        <w:rPr>
          <w:rFonts w:ascii="Arial" w:eastAsia="Arial" w:hAnsi="Arial" w:cs="Arial"/>
          <w:b/>
          <w:sz w:val="20"/>
          <w:szCs w:val="20"/>
          <w:u w:val="single"/>
        </w:rPr>
        <w:t>BYOD (Bring Your Own Device)</w:t>
      </w:r>
    </w:p>
    <w:p w:rsidR="008D4A32" w:rsidRDefault="008D4A32"/>
    <w:p w:rsidR="008D4A32" w:rsidRDefault="00D170F8">
      <w:r>
        <w:rPr>
          <w:rFonts w:ascii="Arial" w:eastAsia="Arial" w:hAnsi="Arial" w:cs="Arial"/>
          <w:sz w:val="20"/>
          <w:szCs w:val="20"/>
        </w:rPr>
        <w:t>This policy allows students to use devices in an educational setting at the discretion of the teacher. Please keep in mind that BYOD is a privilege, and like all privileges, may be taken away if abused. Abuse may include, but is not limited to, accessing p</w:t>
      </w:r>
      <w:r>
        <w:rPr>
          <w:rFonts w:ascii="Arial" w:eastAsia="Arial" w:hAnsi="Arial" w:cs="Arial"/>
          <w:sz w:val="20"/>
          <w:szCs w:val="20"/>
        </w:rPr>
        <w:t xml:space="preserve">ersonal data networks, accessing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internet resources not approved by the teacher, and personal use unrelated to teacher directed content. </w:t>
      </w:r>
    </w:p>
    <w:p w:rsidR="008D4A32" w:rsidRDefault="008D4A32"/>
    <w:p w:rsidR="008D4A32" w:rsidRDefault="008D4A32"/>
    <w:p w:rsidR="008D4A32" w:rsidRDefault="00D170F8">
      <w:r>
        <w:rPr>
          <w:rFonts w:ascii="Arial" w:eastAsia="Arial" w:hAnsi="Arial" w:cs="Arial"/>
          <w:b/>
          <w:sz w:val="20"/>
          <w:szCs w:val="20"/>
          <w:u w:val="single"/>
        </w:rPr>
        <w:t>Art Resources</w:t>
      </w:r>
    </w:p>
    <w:p w:rsidR="008D4A32" w:rsidRDefault="008D4A32"/>
    <w:p w:rsidR="008D4A32" w:rsidRDefault="00D170F8">
      <w:r>
        <w:rPr>
          <w:rFonts w:ascii="Arial" w:eastAsia="Arial" w:hAnsi="Arial" w:cs="Arial"/>
          <w:b/>
          <w:sz w:val="20"/>
          <w:szCs w:val="20"/>
        </w:rPr>
        <w:t>stewartroom111.weebly.com</w:t>
      </w:r>
      <w:r>
        <w:rPr>
          <w:rFonts w:ascii="Arial" w:eastAsia="Arial" w:hAnsi="Arial" w:cs="Arial"/>
          <w:sz w:val="20"/>
          <w:szCs w:val="20"/>
        </w:rPr>
        <w:t xml:space="preserve"> – Website contains all general classroom information, project information, flipped classroom materials, video tutorials, class blog, and other helpful art resources.</w:t>
      </w:r>
    </w:p>
    <w:p w:rsidR="008D4A32" w:rsidRDefault="008D4A32"/>
    <w:p w:rsidR="008D4A32" w:rsidRDefault="00D170F8">
      <w:r>
        <w:rPr>
          <w:rFonts w:ascii="Arial" w:eastAsia="Arial" w:hAnsi="Arial" w:cs="Arial"/>
          <w:b/>
          <w:sz w:val="20"/>
          <w:szCs w:val="20"/>
        </w:rPr>
        <w:t>Google Classroom -</w:t>
      </w:r>
      <w:r>
        <w:rPr>
          <w:rFonts w:ascii="Arial" w:eastAsia="Arial" w:hAnsi="Arial" w:cs="Arial"/>
          <w:sz w:val="20"/>
          <w:szCs w:val="20"/>
        </w:rPr>
        <w:t xml:space="preserve"> Google Classroom will be used to participate in discussions and other</w:t>
      </w:r>
      <w:r>
        <w:rPr>
          <w:rFonts w:ascii="Arial" w:eastAsia="Arial" w:hAnsi="Arial" w:cs="Arial"/>
          <w:sz w:val="20"/>
          <w:szCs w:val="20"/>
        </w:rPr>
        <w:t xml:space="preserve"> class related activities on a bi-weekly basis (dates subject to change). </w:t>
      </w:r>
    </w:p>
    <w:p w:rsidR="008D4A32" w:rsidRDefault="008D4A32"/>
    <w:p w:rsidR="008D4A32" w:rsidRDefault="00D170F8">
      <w:r>
        <w:rPr>
          <w:rFonts w:ascii="Arial" w:eastAsia="Arial" w:hAnsi="Arial" w:cs="Arial"/>
          <w:b/>
          <w:sz w:val="20"/>
          <w:szCs w:val="20"/>
        </w:rPr>
        <w:t>Remind101</w:t>
      </w:r>
      <w:r>
        <w:rPr>
          <w:rFonts w:ascii="Arial" w:eastAsia="Arial" w:hAnsi="Arial" w:cs="Arial"/>
          <w:sz w:val="20"/>
          <w:szCs w:val="20"/>
        </w:rPr>
        <w:t xml:space="preserve"> – All students and parents are highly encouraged to sign up for Remind101 reminders (text message or email option available). </w:t>
      </w:r>
    </w:p>
    <w:p w:rsidR="008D4A32" w:rsidRDefault="008D4A32"/>
    <w:p w:rsidR="008D4A32" w:rsidRDefault="008D4A32"/>
    <w:p w:rsidR="008D4A32" w:rsidRDefault="008D4A32"/>
    <w:p w:rsidR="008D4A32" w:rsidRDefault="008D4A32"/>
    <w:p w:rsidR="008D4A32" w:rsidRDefault="008D4A32"/>
    <w:p w:rsidR="008D4A32" w:rsidRDefault="008D4A32"/>
    <w:p w:rsidR="008D4A32" w:rsidRDefault="008D4A32"/>
    <w:p w:rsidR="008D4A32" w:rsidRDefault="008D4A32"/>
    <w:p w:rsidR="008D4A32" w:rsidRDefault="008D4A32"/>
    <w:p w:rsidR="008D4A32" w:rsidRDefault="008D4A32"/>
    <w:sectPr w:rsidR="008D4A3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ADB"/>
    <w:multiLevelType w:val="multilevel"/>
    <w:tmpl w:val="134A6E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05277FA"/>
    <w:multiLevelType w:val="multilevel"/>
    <w:tmpl w:val="1F1A74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1D55760"/>
    <w:multiLevelType w:val="multilevel"/>
    <w:tmpl w:val="A2E6CD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32"/>
    <w:rsid w:val="00654D6F"/>
    <w:rsid w:val="008D4A32"/>
    <w:rsid w:val="00D170F8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2F158-A263-4B20-A927-027CB913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lsartroom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wartroom111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ay.Neel@fcp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meron.Stewart@fcps.org" TargetMode="External"/><Relationship Id="rId10" Type="http://schemas.openxmlformats.org/officeDocument/2006/relationships/hyperlink" Target="http://www.neelsartroom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elsartroom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</dc:creator>
  <cp:lastModifiedBy>Kyle Stewart</cp:lastModifiedBy>
  <cp:revision>2</cp:revision>
  <dcterms:created xsi:type="dcterms:W3CDTF">2015-08-19T00:04:00Z</dcterms:created>
  <dcterms:modified xsi:type="dcterms:W3CDTF">2015-08-19T00:04:00Z</dcterms:modified>
</cp:coreProperties>
</file>